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21 280 vom 4. Dezember 2024</w:t>
      </w:r>
    </w:p>
    <w:p>
      <w:r>
        <w:t>VS Kantonsgericht, 2024-12-04, FR</w:t>
      </w:r>
    </w:p>
    <w:p>
      <w:r>
        <w:rPr>
          <w:b/>
        </w:rPr>
        <w:t xml:space="preserve">Quelle: </w:t>
      </w:r>
      <w:r>
        <w:t>https://mcp.opencaselaw.ch/entscheid/vs_gerichte_A1 21 280</w:t>
      </w:r>
    </w:p>
    <w:p>
      <w:r>
        <w:t>FR: VS_GERICHTE A1 21 280 du 4 décembre 2024</w:t>
      </w:r>
    </w:p>
    <w:p>
      <w:r>
        <w:t>IT: VS_GERICHTE A1 21 280 del 4 dicembre 2024</w:t>
      </w:r>
    </w:p>
    <w:p>
      <w:pPr>
        <w:pStyle w:val="Heading2"/>
      </w:pPr>
      <w:r>
        <w:t>Regeste</w:t>
      </w:r>
    </w:p>
    <w:p>
      <w:r>
        <w:t>A1 21 280 ARRET DU 4 DECEMBRE 2024 Tribunal cantonal du Valais Cour de droit public Composition : Christophe Joris, président ; Dr Thierry Schnyder et Frédéric Fellay, juges ; Matthieu Sartoretti, greffier ; en la cause X _________ SA, recourante, représentée par Maître Frédéric Pitteloud, avocat à Sion, contre CONSEIL D'ETAT DU VALAIS, autorité attaquée, dans l’affaire qui oppose la recourante à la COMMUNE DE Y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w:t>
      </w:r>
    </w:p>
    <w:p>
      <w:r>
        <w:t>- 4 - important à la solution de la question litigieuse (ATF 142 I 135 consid. 1.3.1 et les arrêts cités).</w:t>
      </w:r>
    </w:p>
    <w:p>
      <w:r>
        <w:rPr>
          <w:b/>
        </w:rPr>
        <w:t>E. 1.2</w:t>
      </w:r>
    </w:p>
    <w:p>
      <w:r>
        <w:t>En l’espèce, la décision d’homologation du 10 novembre 2021 objet de la présente procédure a été intégralement annulée par l’arrêt A1 22 9 désormais en force. Cette décision n’existe dès lors plus, si bien que la recourante ne dispose plus d’aucun intérêt à ce que le Tribunal statue sur son recours de droit administratif du 20 décembre 2021 qui, dans ces conditions, a perdu son objet. A juste titre, la recourante ne soutient par ailleurs pas que les conditions permettant exceptionnellement d’entrer en matière nonobstant le défaut d’intérêt pratique actuel seraient réunies.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S’ils n’avaient pas déjà donné lieu à l’annulation totale de la décision d’homologation du 10 novembre 2021 aux termes de l’arrêt A1 22 9, ces mêmes motifs auraient donc justifié l’admission du recours de droit administratif de la propriétaire. Aussi les autorités communales sont- elles réputées succomber et la recourante obtenir gain de cause, de sorte que le présent arrêt sera rendu sans frais (art. 89 al. 4 LPJA). Une indemnité de dépens devra en</w:t>
      </w:r>
    </w:p>
    <w:p>
      <w:r>
        <w:t>- 5 - revanche être allouée à la propriétaire, dont il convient encore d’arrêter le montant en vertu des principes usuellement applicables.</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(ACDP A1 17 248 précité consid. 2.2.4 et A1 15 112</w:t>
      </w:r>
    </w:p>
    <w:p>
      <w:r>
        <w:t>- 6 -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 Si l’art. 5 al. 2 LTar prévoit la faculté de déposer un décompte de prestations, ce dernier ne lie cependant pas l’autorité de recours ou le juge (arrêt du Tribunal fédéral 2C_162/2013 du 8 juillet 2013 consid. 3.2 ; ACDP A1 23 190 du 25 septembre 2024 consid. 7.1.2 et A1 22 123 précité consid. 2.3.3 et les nombreuses références citées). Les frais résultant de démarches inutiles ou superflues ne sont en particulier pas pris en considération au moment de la fixation de l’indemnité de dépens (arrêt du Tribunal fédéral 5A_4/2018 du 17 avril 2018 consid. 3.4.2 ; ACDP A1 23 190 précité consid. 7.1.2 et A1 22 123 précité consid. 2.3.3). Il en va de même des activités de nature administrative, comme la transmission de pièces ou de copies, les brefs contacts téléphoniques ainsi que l’établissement de télécopies ou de brèves correspondances, telles celles nécessitant environ cinq minutes de travail (ACDP A1 22 123 précité consid.</w:t>
      </w:r>
    </w:p>
    <w:p>
      <w:r>
        <w:rPr>
          <w:b/>
        </w:rPr>
        <w:t>E. 2.3.3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w:t>
      </w:r>
    </w:p>
    <w:p>
      <w:r>
        <w:t>- 7 - fédéral 2C_247/2022 précité consid. 3.1 et 1C_58/2019 du 31 décembre 2019 consid. 2.2).</w:t>
      </w:r>
    </w:p>
    <w:p>
      <w:r>
        <w:rPr>
          <w:b/>
        </w:rPr>
        <w:t>E. 2.4</w:t>
      </w:r>
    </w:p>
    <w:p>
      <w:r>
        <w:t>En l’occurrence, en l’absence de décompte (art. 5 al. 2 let. c LTar) et eu égard à la complexité de la procédure, au stade précoce auquel elle prend fin et à l’activité limitée déployée par le mandataire de la recourante, laquelle a principalement consisté en la rédaction d’un mémoire de recours de droit administratif et de quelques brefs courriers, le montant des dépens sera arrêté à 1500 fr. (art. 39 LTar), débours et TVA inclus (art. 27 al. 5 LTar).</w:t>
      </w:r>
    </w:p>
    <w:p>
      <w:r>
        <w:rPr>
          <w:b/>
        </w:rPr>
        <w:t>E. 3</w:t>
      </w:r>
    </w:p>
    <w:p>
      <w:r>
        <w:t>A la lumière des considérants qui précèdent, le recours est devenu sans objet, si bien que la cause doit être rayée du rôle, sans frais (art. 89 al. 4 LPJA). La commune versera par ailleurs à la recourante une indemnité de 1500 fr., débours et TVA compris, à titre de dépens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